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32556" w14:textId="14D6E5EF" w:rsidR="00272B8D" w:rsidRPr="00AF6772" w:rsidRDefault="00AF6772" w:rsidP="00A32530">
      <w:pPr>
        <w:spacing w:after="0" w:line="240" w:lineRule="auto"/>
        <w:jc w:val="right"/>
        <w:rPr>
          <w:rFonts w:ascii="Tahoma" w:eastAsia="Times New Roman" w:hAnsi="Tahoma" w:cs="Tahoma"/>
          <w:b/>
          <w:kern w:val="0"/>
          <w:sz w:val="24"/>
          <w:szCs w:val="24"/>
          <w14:ligatures w14:val="none"/>
        </w:rPr>
      </w:pPr>
      <w:r>
        <w:rPr>
          <w:noProof/>
        </w:rPr>
        <w:drawing>
          <wp:anchor distT="0" distB="0" distL="114300" distR="114300" simplePos="0" relativeHeight="251661312" behindDoc="1" locked="0" layoutInCell="1" allowOverlap="1" wp14:anchorId="15A41680" wp14:editId="1A9A1DDE">
            <wp:simplePos x="0" y="0"/>
            <wp:positionH relativeFrom="column">
              <wp:posOffset>-63500</wp:posOffset>
            </wp:positionH>
            <wp:positionV relativeFrom="paragraph">
              <wp:posOffset>0</wp:posOffset>
            </wp:positionV>
            <wp:extent cx="2433320" cy="856615"/>
            <wp:effectExtent l="0" t="0" r="5080" b="635"/>
            <wp:wrapThrough wrapText="bothSides">
              <wp:wrapPolygon edited="0">
                <wp:start x="0" y="0"/>
                <wp:lineTo x="0" y="21136"/>
                <wp:lineTo x="21476" y="21136"/>
                <wp:lineTo x="21476" y="0"/>
                <wp:lineTo x="0" y="0"/>
              </wp:wrapPolygon>
            </wp:wrapThrough>
            <wp:docPr id="1473673957"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94449" name="Picture 1" descr="A close-up of a logo&#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33320" cy="8566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eastAsia="Times New Roman" w:hAnsi="Tahoma" w:cs="Tahoma"/>
          <w:b/>
          <w:kern w:val="0"/>
          <w:sz w:val="20"/>
          <w:szCs w:val="20"/>
          <w14:ligatures w14:val="none"/>
        </w:rPr>
        <w:t xml:space="preserve">               </w:t>
      </w:r>
      <w:r w:rsidR="00272B8D" w:rsidRPr="00AF6772">
        <w:rPr>
          <w:rFonts w:ascii="Tahoma" w:eastAsia="Times New Roman" w:hAnsi="Tahoma" w:cs="Tahoma"/>
          <w:b/>
          <w:kern w:val="0"/>
          <w:sz w:val="24"/>
          <w:szCs w:val="24"/>
          <w14:ligatures w14:val="none"/>
        </w:rPr>
        <w:t xml:space="preserve">CHILD AND FAMILY SERVICE </w:t>
      </w:r>
      <w:r w:rsidR="00A32530">
        <w:rPr>
          <w:rFonts w:ascii="Tahoma" w:eastAsia="Times New Roman" w:hAnsi="Tahoma" w:cs="Tahoma"/>
          <w:b/>
          <w:kern w:val="0"/>
          <w:sz w:val="24"/>
          <w:szCs w:val="24"/>
          <w14:ligatures w14:val="none"/>
        </w:rPr>
        <w:t>OF</w:t>
      </w:r>
      <w:r w:rsidR="00272B8D" w:rsidRPr="00AF6772">
        <w:rPr>
          <w:rFonts w:ascii="Tahoma" w:eastAsia="Times New Roman" w:hAnsi="Tahoma" w:cs="Tahoma"/>
          <w:b/>
          <w:kern w:val="0"/>
          <w:sz w:val="24"/>
          <w:szCs w:val="24"/>
          <w14:ligatures w14:val="none"/>
        </w:rPr>
        <w:t xml:space="preserve"> SAGINAW COUNTY</w:t>
      </w:r>
    </w:p>
    <w:p w14:paraId="66EC119B" w14:textId="0F7CE7B9" w:rsidR="00272B8D" w:rsidRPr="00AF6772" w:rsidRDefault="00272B8D" w:rsidP="00272B8D">
      <w:pPr>
        <w:spacing w:after="0" w:line="240" w:lineRule="auto"/>
        <w:jc w:val="center"/>
        <w:rPr>
          <w:rFonts w:ascii="Tahoma" w:eastAsia="Times New Roman" w:hAnsi="Tahoma" w:cs="Tahoma"/>
          <w:b/>
          <w:kern w:val="0"/>
          <w:sz w:val="24"/>
          <w:szCs w:val="24"/>
          <w14:ligatures w14:val="none"/>
        </w:rPr>
      </w:pPr>
    </w:p>
    <w:p w14:paraId="096C5E73" w14:textId="35D14CB3" w:rsidR="00272B8D" w:rsidRPr="00272B8D" w:rsidRDefault="00272B8D" w:rsidP="00272B8D">
      <w:pPr>
        <w:spacing w:after="0" w:line="240" w:lineRule="auto"/>
        <w:jc w:val="center"/>
        <w:rPr>
          <w:rFonts w:ascii="Tahoma" w:eastAsia="Times New Roman" w:hAnsi="Tahoma" w:cs="Times New Roman"/>
          <w:b/>
          <w:bCs/>
          <w:kern w:val="0"/>
          <w:sz w:val="24"/>
          <w:szCs w:val="24"/>
          <w14:ligatures w14:val="none"/>
        </w:rPr>
      </w:pPr>
    </w:p>
    <w:p w14:paraId="1D700DEA" w14:textId="5D0A77AE" w:rsidR="00272B8D" w:rsidRPr="00272B8D" w:rsidRDefault="00272B8D" w:rsidP="00272B8D">
      <w:pPr>
        <w:spacing w:after="0" w:line="240" w:lineRule="auto"/>
        <w:jc w:val="right"/>
        <w:rPr>
          <w:rFonts w:ascii="Tahoma" w:eastAsia="Times New Roman" w:hAnsi="Tahoma" w:cs="Times New Roman"/>
          <w:b/>
          <w:bCs/>
          <w:kern w:val="0"/>
          <w:sz w:val="32"/>
          <w:szCs w:val="24"/>
          <w14:ligatures w14:val="none"/>
        </w:rPr>
      </w:pPr>
    </w:p>
    <w:p w14:paraId="6ED27CF5" w14:textId="5F50D766" w:rsidR="00272B8D" w:rsidRPr="00272B8D" w:rsidRDefault="00272B8D" w:rsidP="00272B8D">
      <w:pPr>
        <w:spacing w:after="0" w:line="240" w:lineRule="auto"/>
        <w:jc w:val="right"/>
        <w:rPr>
          <w:rFonts w:ascii="Tahoma" w:eastAsia="Times New Roman" w:hAnsi="Tahoma" w:cs="Times New Roman"/>
          <w:b/>
          <w:bCs/>
          <w:kern w:val="0"/>
          <w:sz w:val="32"/>
          <w:szCs w:val="24"/>
          <w14:ligatures w14:val="none"/>
        </w:rPr>
      </w:pPr>
      <w:r>
        <w:rPr>
          <w:rFonts w:ascii="Tahoma" w:eastAsia="Times New Roman" w:hAnsi="Tahoma" w:cs="Times New Roman"/>
          <w:b/>
          <w:bCs/>
          <w:kern w:val="0"/>
          <w:sz w:val="32"/>
          <w:szCs w:val="24"/>
          <w14:ligatures w14:val="none"/>
        </w:rPr>
        <w:t xml:space="preserve">Hazardous Materials </w:t>
      </w:r>
      <w:r w:rsidRPr="00272B8D">
        <w:rPr>
          <w:rFonts w:ascii="Tahoma" w:eastAsia="Times New Roman" w:hAnsi="Tahoma" w:cs="Times New Roman"/>
          <w:b/>
          <w:bCs/>
          <w:kern w:val="0"/>
          <w:sz w:val="32"/>
          <w:szCs w:val="24"/>
          <w14:ligatures w14:val="none"/>
        </w:rPr>
        <w:t>Policy</w:t>
      </w:r>
    </w:p>
    <w:p w14:paraId="1C10B0A0" w14:textId="3145AFFE" w:rsidR="00272B8D" w:rsidRDefault="00272B8D" w:rsidP="00272B8D">
      <w:pPr>
        <w:spacing w:after="0" w:line="240" w:lineRule="auto"/>
        <w:rPr>
          <w:rFonts w:ascii="Tahoma" w:eastAsia="Times New Roman" w:hAnsi="Tahoma" w:cs="Times New Roman"/>
          <w:b/>
          <w:bCs/>
          <w:kern w:val="0"/>
          <w:sz w:val="24"/>
          <w:szCs w:val="24"/>
          <w14:ligatures w14:val="none"/>
        </w:rPr>
      </w:pPr>
    </w:p>
    <w:p w14:paraId="2A7F0E33" w14:textId="77777777" w:rsidR="00AF6772" w:rsidRPr="00272B8D" w:rsidRDefault="00AF6772" w:rsidP="00272B8D">
      <w:pPr>
        <w:spacing w:after="0" w:line="240" w:lineRule="auto"/>
        <w:rPr>
          <w:rFonts w:ascii="Tahoma" w:eastAsia="Times New Roman" w:hAnsi="Tahoma" w:cs="Times New Roman"/>
          <w:b/>
          <w:bCs/>
          <w:kern w:val="0"/>
          <w:sz w:val="24"/>
          <w:szCs w:val="24"/>
          <w14:ligatures w14:val="none"/>
        </w:rPr>
      </w:pPr>
    </w:p>
    <w:p w14:paraId="4754BA13" w14:textId="77777777" w:rsidR="00272B8D" w:rsidRPr="00272B8D" w:rsidRDefault="00272B8D" w:rsidP="00272B8D">
      <w:pPr>
        <w:spacing w:after="0" w:line="240" w:lineRule="auto"/>
        <w:jc w:val="both"/>
        <w:rPr>
          <w:rFonts w:ascii="Tahoma" w:eastAsia="Times New Roman" w:hAnsi="Tahoma" w:cs="Tahoma"/>
          <w:b/>
          <w:bCs/>
          <w:kern w:val="0"/>
          <w:sz w:val="24"/>
          <w:szCs w:val="24"/>
          <w14:ligatures w14:val="none"/>
        </w:rPr>
      </w:pPr>
      <w:r w:rsidRPr="00272B8D">
        <w:rPr>
          <w:rFonts w:ascii="Tahoma" w:eastAsia="Times New Roman" w:hAnsi="Tahoma" w:cs="Tahoma"/>
          <w:b/>
          <w:bCs/>
          <w:kern w:val="0"/>
          <w:sz w:val="24"/>
          <w:szCs w:val="24"/>
          <w14:ligatures w14:val="none"/>
        </w:rPr>
        <w:t xml:space="preserve">Definition: </w:t>
      </w:r>
    </w:p>
    <w:p w14:paraId="18733D7A" w14:textId="77777777" w:rsidR="00272B8D" w:rsidRPr="00272B8D" w:rsidRDefault="00272B8D" w:rsidP="00272B8D">
      <w:pPr>
        <w:spacing w:after="0" w:line="240" w:lineRule="auto"/>
        <w:jc w:val="both"/>
        <w:rPr>
          <w:rFonts w:ascii="Arial" w:eastAsia="Times New Roman" w:hAnsi="Arial" w:cs="Arial"/>
          <w:kern w:val="0"/>
          <w:sz w:val="20"/>
          <w:szCs w:val="20"/>
          <w14:ligatures w14:val="none"/>
        </w:rPr>
      </w:pPr>
    </w:p>
    <w:p w14:paraId="3B2349E3" w14:textId="77777777" w:rsidR="00272B8D" w:rsidRDefault="00272B8D" w:rsidP="00272B8D">
      <w:pPr>
        <w:spacing w:after="0" w:line="240" w:lineRule="auto"/>
        <w:jc w:val="both"/>
        <w:rPr>
          <w:rFonts w:ascii="Tahoma" w:eastAsia="Times New Roman" w:hAnsi="Tahoma" w:cs="Tahoma"/>
          <w:kern w:val="0"/>
          <w:sz w:val="24"/>
          <w:szCs w:val="24"/>
          <w14:ligatures w14:val="none"/>
        </w:rPr>
      </w:pPr>
      <w:r>
        <w:rPr>
          <w:rFonts w:ascii="Tahoma" w:eastAsia="Times New Roman" w:hAnsi="Tahoma" w:cs="Tahoma"/>
          <w:kern w:val="0"/>
          <w:sz w:val="24"/>
          <w:szCs w:val="24"/>
          <w14:ligatures w14:val="none"/>
        </w:rPr>
        <w:t>A hazardous materials policy exists to ensure proper handling, storage and disposal of hazardous materials.</w:t>
      </w:r>
    </w:p>
    <w:p w14:paraId="6233BE70" w14:textId="77777777" w:rsidR="00272B8D" w:rsidRDefault="00272B8D" w:rsidP="00272B8D">
      <w:pPr>
        <w:spacing w:after="0" w:line="240" w:lineRule="auto"/>
        <w:jc w:val="both"/>
        <w:rPr>
          <w:rFonts w:ascii="Tahoma" w:eastAsia="Times New Roman" w:hAnsi="Tahoma" w:cs="Tahoma"/>
          <w:kern w:val="0"/>
          <w:sz w:val="24"/>
          <w:szCs w:val="24"/>
          <w14:ligatures w14:val="none"/>
        </w:rPr>
      </w:pPr>
    </w:p>
    <w:p w14:paraId="6225B4CC" w14:textId="0BA05CFE" w:rsidR="00272B8D" w:rsidRDefault="00272B8D" w:rsidP="00272B8D">
      <w:pPr>
        <w:spacing w:after="0" w:line="240" w:lineRule="auto"/>
        <w:jc w:val="both"/>
        <w:rPr>
          <w:rFonts w:ascii="Tahoma" w:eastAsia="Times New Roman" w:hAnsi="Tahoma" w:cs="Tahoma"/>
          <w:kern w:val="0"/>
          <w:sz w:val="24"/>
          <w:szCs w:val="24"/>
          <w14:ligatures w14:val="none"/>
        </w:rPr>
      </w:pPr>
      <w:r>
        <w:rPr>
          <w:rFonts w:ascii="Tahoma" w:eastAsia="Times New Roman" w:hAnsi="Tahoma" w:cs="Tahoma"/>
          <w:kern w:val="0"/>
          <w:sz w:val="24"/>
          <w:szCs w:val="24"/>
          <w14:ligatures w14:val="none"/>
        </w:rPr>
        <w:t>Child and Family Services utilizes only household-grade cleaning products and chemicals within the workplace environment and abides by all recommended handling, storage, and disposal instructions identified on the original manufacturer’s label.</w:t>
      </w:r>
      <w:r w:rsidR="00585992">
        <w:rPr>
          <w:rFonts w:ascii="Tahoma" w:eastAsia="Times New Roman" w:hAnsi="Tahoma" w:cs="Tahoma"/>
          <w:kern w:val="0"/>
          <w:sz w:val="24"/>
          <w:szCs w:val="24"/>
          <w14:ligatures w14:val="none"/>
        </w:rPr>
        <w:t xml:space="preserve">  Safety Data Sheets for all products utilized are located on the Restricted Drive.</w:t>
      </w:r>
    </w:p>
    <w:p w14:paraId="21F4D9CC" w14:textId="77777777" w:rsidR="00272B8D" w:rsidRDefault="00272B8D" w:rsidP="00272B8D">
      <w:pPr>
        <w:spacing w:after="0" w:line="240" w:lineRule="auto"/>
        <w:jc w:val="both"/>
        <w:rPr>
          <w:rFonts w:ascii="Tahoma" w:eastAsia="Times New Roman" w:hAnsi="Tahoma" w:cs="Tahoma"/>
          <w:kern w:val="0"/>
          <w:sz w:val="24"/>
          <w:szCs w:val="24"/>
          <w14:ligatures w14:val="none"/>
        </w:rPr>
      </w:pPr>
    </w:p>
    <w:p w14:paraId="2ED19FA5" w14:textId="4A0FD1CF" w:rsidR="00272B8D" w:rsidRDefault="00272B8D" w:rsidP="00272B8D">
      <w:pPr>
        <w:spacing w:after="0" w:line="240" w:lineRule="auto"/>
        <w:jc w:val="both"/>
        <w:rPr>
          <w:rFonts w:ascii="Tahoma" w:eastAsia="Times New Roman" w:hAnsi="Tahoma" w:cs="Tahoma"/>
          <w:b/>
          <w:bCs/>
          <w:kern w:val="0"/>
          <w:sz w:val="24"/>
          <w:szCs w:val="24"/>
          <w14:ligatures w14:val="none"/>
        </w:rPr>
      </w:pPr>
      <w:r w:rsidRPr="00272B8D">
        <w:rPr>
          <w:rFonts w:ascii="Tahoma" w:eastAsia="Times New Roman" w:hAnsi="Tahoma" w:cs="Tahoma"/>
          <w:b/>
          <w:bCs/>
          <w:kern w:val="0"/>
          <w:sz w:val="24"/>
          <w:szCs w:val="24"/>
          <w14:ligatures w14:val="none"/>
        </w:rPr>
        <w:t>Guideline</w:t>
      </w:r>
      <w:r>
        <w:rPr>
          <w:rFonts w:ascii="Tahoma" w:eastAsia="Times New Roman" w:hAnsi="Tahoma" w:cs="Tahoma"/>
          <w:b/>
          <w:bCs/>
          <w:kern w:val="0"/>
          <w:sz w:val="24"/>
          <w:szCs w:val="24"/>
          <w14:ligatures w14:val="none"/>
        </w:rPr>
        <w:t>s:</w:t>
      </w:r>
    </w:p>
    <w:p w14:paraId="3FF5CBA0" w14:textId="77777777" w:rsidR="00272B8D" w:rsidRDefault="00272B8D" w:rsidP="00272B8D">
      <w:pPr>
        <w:spacing w:after="0" w:line="240" w:lineRule="auto"/>
        <w:jc w:val="both"/>
        <w:rPr>
          <w:rFonts w:ascii="Tahoma" w:eastAsia="Times New Roman" w:hAnsi="Tahoma" w:cs="Tahoma"/>
          <w:b/>
          <w:bCs/>
          <w:kern w:val="0"/>
          <w:sz w:val="24"/>
          <w:szCs w:val="24"/>
          <w14:ligatures w14:val="none"/>
        </w:rPr>
      </w:pPr>
    </w:p>
    <w:p w14:paraId="10671A6F" w14:textId="5E6559BA" w:rsidR="00272B8D" w:rsidRPr="00272B8D" w:rsidRDefault="00272B8D" w:rsidP="00272B8D">
      <w:pPr>
        <w:pStyle w:val="ListParagraph"/>
        <w:numPr>
          <w:ilvl w:val="0"/>
          <w:numId w:val="1"/>
        </w:numPr>
        <w:spacing w:after="0" w:line="240" w:lineRule="auto"/>
        <w:jc w:val="both"/>
        <w:rPr>
          <w:rFonts w:ascii="Tahoma" w:eastAsia="Times New Roman" w:hAnsi="Tahoma" w:cs="Tahoma"/>
          <w:kern w:val="0"/>
          <w:sz w:val="24"/>
          <w:szCs w:val="24"/>
          <w14:ligatures w14:val="none"/>
        </w:rPr>
      </w:pPr>
      <w:r w:rsidRPr="00272B8D">
        <w:rPr>
          <w:rFonts w:ascii="Tahoma" w:eastAsia="Times New Roman" w:hAnsi="Tahoma" w:cs="Tahoma"/>
          <w:kern w:val="0"/>
          <w:sz w:val="24"/>
          <w:szCs w:val="24"/>
          <w14:ligatures w14:val="none"/>
        </w:rPr>
        <w:t>Only household grade cleaning products and chemicals are utilized by employees or cleaning services utilized by Child and Family Services.</w:t>
      </w:r>
    </w:p>
    <w:p w14:paraId="5B71E625" w14:textId="7D6517FD" w:rsidR="00272B8D" w:rsidRPr="00272B8D" w:rsidRDefault="00272B8D" w:rsidP="00272B8D">
      <w:pPr>
        <w:pStyle w:val="ListParagraph"/>
        <w:numPr>
          <w:ilvl w:val="0"/>
          <w:numId w:val="1"/>
        </w:numPr>
        <w:spacing w:after="0" w:line="240" w:lineRule="auto"/>
        <w:jc w:val="both"/>
        <w:rPr>
          <w:rFonts w:ascii="Tahoma" w:eastAsia="Times New Roman" w:hAnsi="Tahoma" w:cs="Tahoma"/>
          <w:kern w:val="0"/>
          <w:sz w:val="24"/>
          <w:szCs w:val="24"/>
          <w14:ligatures w14:val="none"/>
        </w:rPr>
      </w:pPr>
      <w:r w:rsidRPr="00272B8D">
        <w:rPr>
          <w:rFonts w:ascii="Tahoma" w:eastAsia="Times New Roman" w:hAnsi="Tahoma" w:cs="Tahoma"/>
          <w:kern w:val="0"/>
          <w:sz w:val="24"/>
          <w:szCs w:val="24"/>
          <w14:ligatures w14:val="none"/>
        </w:rPr>
        <w:t>Original manufacturers’ labels must remain intact from the period of initial use through appropriate disposal.</w:t>
      </w:r>
    </w:p>
    <w:p w14:paraId="48E8AF41" w14:textId="7B7790F0" w:rsidR="00272B8D" w:rsidRPr="0080564A" w:rsidRDefault="00272B8D" w:rsidP="00272B8D">
      <w:pPr>
        <w:pStyle w:val="ListParagraph"/>
        <w:numPr>
          <w:ilvl w:val="0"/>
          <w:numId w:val="1"/>
        </w:numPr>
        <w:spacing w:after="0" w:line="240" w:lineRule="auto"/>
        <w:jc w:val="both"/>
        <w:rPr>
          <w:rFonts w:ascii="Tahoma" w:eastAsia="Times New Roman" w:hAnsi="Tahoma" w:cs="Tahoma"/>
          <w:kern w:val="0"/>
          <w:sz w:val="24"/>
          <w:szCs w:val="24"/>
          <w14:ligatures w14:val="none"/>
        </w:rPr>
      </w:pPr>
      <w:r w:rsidRPr="00272B8D">
        <w:rPr>
          <w:rFonts w:ascii="Tahoma" w:eastAsia="Times New Roman" w:hAnsi="Tahoma" w:cs="Tahoma"/>
          <w:kern w:val="0"/>
          <w:sz w:val="24"/>
          <w:szCs w:val="24"/>
          <w14:ligatures w14:val="none"/>
        </w:rPr>
        <w:t>The manufacturers’ instructions related to the appropriate handling, storage, and disposal of any product should be followed at all times.</w:t>
      </w:r>
      <w:r w:rsidR="00C47EEE">
        <w:rPr>
          <w:rFonts w:ascii="Tahoma" w:eastAsia="Times New Roman" w:hAnsi="Tahoma" w:cs="Tahoma"/>
          <w:kern w:val="0"/>
          <w:sz w:val="24"/>
          <w:szCs w:val="24"/>
          <w14:ligatures w14:val="none"/>
        </w:rPr>
        <w:t xml:space="preserve"> </w:t>
      </w:r>
      <w:r w:rsidR="00C47EEE" w:rsidRPr="0080564A">
        <w:rPr>
          <w:rFonts w:ascii="Tahoma" w:eastAsia="Times New Roman" w:hAnsi="Tahoma" w:cs="Tahoma"/>
          <w:kern w:val="0"/>
          <w:sz w:val="24"/>
          <w:szCs w:val="24"/>
          <w14:ligatures w14:val="none"/>
        </w:rPr>
        <w:t xml:space="preserve">These instructions can be found on Safety Data Sheets that are under the R: Drive </w:t>
      </w:r>
      <w:r w:rsidR="00C47EEE" w:rsidRPr="0080564A">
        <w:rPr>
          <w:rFonts w:ascii="Tahoma" w:eastAsia="Times New Roman" w:hAnsi="Tahoma" w:cs="Tahoma"/>
          <w:kern w:val="0"/>
          <w:sz w:val="24"/>
          <w:szCs w:val="24"/>
          <w14:ligatures w14:val="none"/>
        </w:rPr>
        <w:sym w:font="Wingdings" w:char="F0E0"/>
      </w:r>
      <w:r w:rsidR="00C47EEE" w:rsidRPr="0080564A">
        <w:rPr>
          <w:rFonts w:ascii="Tahoma" w:eastAsia="Times New Roman" w:hAnsi="Tahoma" w:cs="Tahoma"/>
          <w:kern w:val="0"/>
          <w:sz w:val="24"/>
          <w:szCs w:val="24"/>
          <w14:ligatures w14:val="none"/>
        </w:rPr>
        <w:t xml:space="preserve"> Safety Data Sheet folder. </w:t>
      </w:r>
    </w:p>
    <w:p w14:paraId="56D4FE96" w14:textId="6F3ADF28" w:rsidR="00272B8D" w:rsidRDefault="00272B8D" w:rsidP="00272B8D">
      <w:pPr>
        <w:pStyle w:val="ListParagraph"/>
        <w:numPr>
          <w:ilvl w:val="0"/>
          <w:numId w:val="1"/>
        </w:numPr>
        <w:spacing w:after="0" w:line="240" w:lineRule="auto"/>
        <w:jc w:val="both"/>
        <w:rPr>
          <w:rFonts w:ascii="Tahoma" w:eastAsia="Times New Roman" w:hAnsi="Tahoma" w:cs="Tahoma"/>
          <w:kern w:val="0"/>
          <w:sz w:val="24"/>
          <w:szCs w:val="24"/>
          <w14:ligatures w14:val="none"/>
        </w:rPr>
      </w:pPr>
      <w:r w:rsidRPr="00272B8D">
        <w:rPr>
          <w:rFonts w:ascii="Tahoma" w:eastAsia="Times New Roman" w:hAnsi="Tahoma" w:cs="Tahoma"/>
          <w:kern w:val="0"/>
          <w:sz w:val="24"/>
          <w:szCs w:val="24"/>
          <w14:ligatures w14:val="none"/>
        </w:rPr>
        <w:t>Receptacles are made available for recycling when appropriate.</w:t>
      </w:r>
    </w:p>
    <w:p w14:paraId="30941113" w14:textId="47538ACA" w:rsidR="00585992" w:rsidRPr="00272B8D" w:rsidRDefault="00585992" w:rsidP="00272B8D">
      <w:pPr>
        <w:pStyle w:val="ListParagraph"/>
        <w:numPr>
          <w:ilvl w:val="0"/>
          <w:numId w:val="1"/>
        </w:numPr>
        <w:spacing w:after="0" w:line="240" w:lineRule="auto"/>
        <w:jc w:val="both"/>
        <w:rPr>
          <w:rFonts w:ascii="Tahoma" w:eastAsia="Times New Roman" w:hAnsi="Tahoma" w:cs="Tahoma"/>
          <w:kern w:val="0"/>
          <w:sz w:val="24"/>
          <w:szCs w:val="24"/>
          <w14:ligatures w14:val="none"/>
        </w:rPr>
      </w:pPr>
      <w:r>
        <w:rPr>
          <w:rFonts w:ascii="Tahoma" w:eastAsia="Times New Roman" w:hAnsi="Tahoma" w:cs="Tahoma"/>
          <w:kern w:val="0"/>
          <w:sz w:val="24"/>
          <w:szCs w:val="24"/>
          <w14:ligatures w14:val="none"/>
        </w:rPr>
        <w:t xml:space="preserve">All hazardous materials must be stored in appropriate containers in good condition that are compatible with the chemical contents of the waste.  The waste container must be sealed at all times unless waste is being added or removed.  These are located in a closet that is locked.  </w:t>
      </w:r>
    </w:p>
    <w:p w14:paraId="6D9FB210" w14:textId="1F81EC8A" w:rsidR="00272B8D" w:rsidRPr="00272B8D" w:rsidRDefault="00272B8D" w:rsidP="00272B8D">
      <w:pPr>
        <w:pStyle w:val="ListParagraph"/>
        <w:numPr>
          <w:ilvl w:val="0"/>
          <w:numId w:val="1"/>
        </w:numPr>
        <w:spacing w:after="0" w:line="240" w:lineRule="auto"/>
        <w:jc w:val="both"/>
        <w:rPr>
          <w:rFonts w:ascii="Tahoma" w:eastAsia="Times New Roman" w:hAnsi="Tahoma" w:cs="Tahoma"/>
          <w:kern w:val="0"/>
          <w:sz w:val="24"/>
          <w:szCs w:val="24"/>
          <w14:ligatures w14:val="none"/>
        </w:rPr>
      </w:pPr>
      <w:r w:rsidRPr="00272B8D">
        <w:rPr>
          <w:rFonts w:ascii="Tahoma" w:eastAsia="Times New Roman" w:hAnsi="Tahoma" w:cs="Tahoma"/>
          <w:kern w:val="0"/>
          <w:sz w:val="24"/>
          <w:szCs w:val="24"/>
          <w14:ligatures w14:val="none"/>
        </w:rPr>
        <w:t xml:space="preserve">Should any employee encounter a hazardous material for which routine and basic disposal in a trash or recycling receptable is not acceptable, the agency will contract with an appropriate vendor to secure the safe handling, storage and disposal of the material. </w:t>
      </w:r>
    </w:p>
    <w:p w14:paraId="3AE64506" w14:textId="454696A9" w:rsidR="00272B8D" w:rsidRPr="00272B8D" w:rsidRDefault="00272B8D" w:rsidP="00272B8D">
      <w:pPr>
        <w:spacing w:after="0" w:line="240" w:lineRule="auto"/>
        <w:jc w:val="both"/>
        <w:rPr>
          <w:rFonts w:ascii="Tahoma" w:eastAsia="Times New Roman" w:hAnsi="Tahoma" w:cs="Tahoma"/>
          <w:b/>
          <w:bCs/>
          <w:kern w:val="0"/>
          <w:sz w:val="24"/>
          <w:szCs w:val="24"/>
          <w14:ligatures w14:val="none"/>
        </w:rPr>
      </w:pPr>
    </w:p>
    <w:p w14:paraId="764A856C" w14:textId="00062E2A" w:rsidR="004E175E" w:rsidRDefault="004E175E"/>
    <w:p w14:paraId="08BD1499" w14:textId="77777777" w:rsidR="00AD4C07" w:rsidRDefault="00AD4C07"/>
    <w:p w14:paraId="219DBC6F" w14:textId="77777777" w:rsidR="00AD4C07" w:rsidRDefault="00AD4C07"/>
    <w:p w14:paraId="6D9735D0" w14:textId="503182B5" w:rsidR="00AD4C07" w:rsidRDefault="00AD4C07">
      <w:r>
        <w:t>Created:  April 2024</w:t>
      </w:r>
    </w:p>
    <w:p w14:paraId="6D26F578" w14:textId="77777777" w:rsidR="00AD4C07" w:rsidRDefault="00AD4C07"/>
    <w:sectPr w:rsidR="00AD4C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D463EE"/>
    <w:multiLevelType w:val="hybridMultilevel"/>
    <w:tmpl w:val="B6E0568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613749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B8D"/>
    <w:rsid w:val="00272B8D"/>
    <w:rsid w:val="003F1032"/>
    <w:rsid w:val="004E175E"/>
    <w:rsid w:val="00585992"/>
    <w:rsid w:val="00773739"/>
    <w:rsid w:val="0080564A"/>
    <w:rsid w:val="00A32530"/>
    <w:rsid w:val="00AD4C07"/>
    <w:rsid w:val="00AF6772"/>
    <w:rsid w:val="00C01DE0"/>
    <w:rsid w:val="00C47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0F04"/>
  <w15:chartTrackingRefBased/>
  <w15:docId w15:val="{0CE4402B-E973-4A00-8DB5-C22C710B1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B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Hogenson</dc:creator>
  <cp:keywords/>
  <dc:description/>
  <cp:lastModifiedBy>Jill Hogenson</cp:lastModifiedBy>
  <cp:revision>3</cp:revision>
  <dcterms:created xsi:type="dcterms:W3CDTF">2024-01-03T16:45:00Z</dcterms:created>
  <dcterms:modified xsi:type="dcterms:W3CDTF">2024-08-12T19:20:00Z</dcterms:modified>
</cp:coreProperties>
</file>